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3A79" w14:textId="77777777" w:rsidR="00957E1A" w:rsidRDefault="00957E1A" w:rsidP="00957E1A">
      <w:pPr>
        <w:spacing w:after="0" w:line="240" w:lineRule="auto"/>
        <w:rPr>
          <w:rFonts w:ascii="Arial" w:hAnsi="Arial" w:cs="Arial"/>
          <w:b/>
          <w:bCs/>
        </w:rPr>
      </w:pPr>
    </w:p>
    <w:p w14:paraId="100A3D90" w14:textId="785A61C2" w:rsidR="00957E1A" w:rsidRPr="00957E1A" w:rsidRDefault="00957E1A" w:rsidP="00957E1A">
      <w:pPr>
        <w:spacing w:after="0" w:line="240" w:lineRule="auto"/>
        <w:rPr>
          <w:rFonts w:ascii="Arial" w:hAnsi="Arial" w:cs="Arial"/>
          <w:b/>
          <w:bCs/>
        </w:rPr>
      </w:pPr>
      <w:r w:rsidRPr="00957E1A">
        <w:rPr>
          <w:rFonts w:ascii="Arial" w:hAnsi="Arial" w:cs="Arial"/>
          <w:b/>
          <w:bCs/>
        </w:rPr>
        <w:t>PART 1 – GENERAL</w:t>
      </w:r>
    </w:p>
    <w:p w14:paraId="73E87C8D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38FF12C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1.1  SECTION INCLUDES</w:t>
      </w:r>
    </w:p>
    <w:p w14:paraId="2C7F2E63" w14:textId="40BC9A6E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1.1.1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Steel channel door frames and reinforcing steel. Section 05500.</w:t>
      </w:r>
    </w:p>
    <w:p w14:paraId="26234F41" w14:textId="1E7D4C13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1.1.2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Electrical power supply. Division 16, Electrical.</w:t>
      </w:r>
    </w:p>
    <w:p w14:paraId="33A4287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3BB01087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1.2  DESIGN CRITERIA</w:t>
      </w:r>
    </w:p>
    <w:p w14:paraId="6C76DB97" w14:textId="100B2635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1.2.1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Rolling door to have NEWGEN</w:t>
      </w:r>
      <w:r w:rsidRPr="00957E1A">
        <w:rPr>
          <w:rFonts w:ascii="Arial" w:hAnsi="Arial" w:cs="Arial"/>
          <w:vertAlign w:val="superscript"/>
        </w:rPr>
        <w:t>®</w:t>
      </w:r>
      <w:r w:rsidRPr="00957E1A">
        <w:rPr>
          <w:rFonts w:ascii="Arial" w:hAnsi="Arial" w:cs="Arial"/>
        </w:rPr>
        <w:t xml:space="preserve"> Guide and Curtain Lok™ system to provide a near airtight seal and knock-away feature for easy reassembly upon impact.</w:t>
      </w:r>
    </w:p>
    <w:p w14:paraId="26D313D0" w14:textId="16C57116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1.2.2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After accidental impact, door must be capable of reset from ground level without the use of ladders, tools or lift equipment.</w:t>
      </w:r>
    </w:p>
    <w:p w14:paraId="0AABD208" w14:textId="2F900474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1.2.3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Rolling door SBR curtain for service temperature range of -40°C to +85°C (-40°F to +180°F).</w:t>
      </w:r>
    </w:p>
    <w:p w14:paraId="7CA52A9C" w14:textId="4307971B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1.2.4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Counterbalance springs to be outboard 50,000 cycle.</w:t>
      </w:r>
    </w:p>
    <w:p w14:paraId="67609B3B" w14:textId="77777777" w:rsidR="00957E1A" w:rsidRPr="00957E1A" w:rsidRDefault="00957E1A" w:rsidP="00957E1A">
      <w:pPr>
        <w:spacing w:before="240"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1.3  SAMPLES</w:t>
      </w:r>
    </w:p>
    <w:p w14:paraId="00300A51" w14:textId="4BF03B2B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1.3.1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Submit samples in accordance with Section 01340 [Division 1 - General Requirements] - Shop Drawings, Product Data, Samples and Mock-Ups.</w:t>
      </w:r>
    </w:p>
    <w:p w14:paraId="4E087DC5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36CDDF3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1.4  SHOP DRAWINGS</w:t>
      </w:r>
    </w:p>
    <w:p w14:paraId="12F7F687" w14:textId="6AC254C1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1.4.1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Submit shop drawing in accordance with Section 01340 [Division 1 - General Requirements] - Shop Drawings, Product Data, Samples and Mock-Ups.</w:t>
      </w:r>
    </w:p>
    <w:p w14:paraId="4DB95476" w14:textId="3C3A5BA3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1.4.2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Indicate each type of door arrangement of hardware, required clearances, electrical characteristics including voltages, size of motors, auxiliary </w:t>
      </w:r>
      <w:proofErr w:type="gramStart"/>
      <w:r w:rsidRPr="00957E1A">
        <w:rPr>
          <w:rFonts w:ascii="Arial" w:hAnsi="Arial" w:cs="Arial"/>
        </w:rPr>
        <w:t>controls</w:t>
      </w:r>
      <w:proofErr w:type="gramEnd"/>
      <w:r w:rsidRPr="00957E1A">
        <w:rPr>
          <w:rFonts w:ascii="Arial" w:hAnsi="Arial" w:cs="Arial"/>
        </w:rPr>
        <w:t xml:space="preserve"> and wiring diagrams.</w:t>
      </w:r>
    </w:p>
    <w:p w14:paraId="59EA0E47" w14:textId="25DA48CB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1.4.3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Indicate assembly details and dimensions of fabrication, required clearances and electrical connections.</w:t>
      </w:r>
    </w:p>
    <w:p w14:paraId="0332AAB7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2C1E7766" w14:textId="7B8D3D3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1.5  MAINTENANCE DATA</w:t>
      </w:r>
    </w:p>
    <w:p w14:paraId="083A99E8" w14:textId="35E95A02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1.5.1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Provide operation and maintenance data for the Model HDXL6 door and hardware for incorporation into manual specified in Section 01730 [Division 1 - General Requirements] – Operation and Maintenance Manual.</w:t>
      </w:r>
    </w:p>
    <w:p w14:paraId="2763DCD2" w14:textId="77777777" w:rsid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</w:p>
    <w:p w14:paraId="56A766A1" w14:textId="77777777" w:rsid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</w:p>
    <w:p w14:paraId="4B2F1599" w14:textId="3D1B2D58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1.5.2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Maintenance data shall include:</w:t>
      </w:r>
    </w:p>
    <w:p w14:paraId="685C70E3" w14:textId="77777777" w:rsidR="00957E1A" w:rsidRPr="00957E1A" w:rsidRDefault="00957E1A" w:rsidP="00957E1A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180"/>
        <w:rPr>
          <w:rFonts w:ascii="Arial" w:hAnsi="Arial" w:cs="Arial"/>
        </w:rPr>
      </w:pPr>
      <w:r w:rsidRPr="00957E1A">
        <w:rPr>
          <w:rFonts w:ascii="Arial" w:hAnsi="Arial" w:cs="Arial"/>
        </w:rPr>
        <w:t>a complete description of operation in order of task</w:t>
      </w:r>
    </w:p>
    <w:p w14:paraId="3D639A4B" w14:textId="77777777" w:rsidR="00957E1A" w:rsidRPr="00957E1A" w:rsidRDefault="00957E1A" w:rsidP="00957E1A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180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wiring diagrams showing all electrical </w:t>
      </w:r>
      <w:proofErr w:type="gramStart"/>
      <w:r w:rsidRPr="00957E1A">
        <w:rPr>
          <w:rFonts w:ascii="Arial" w:hAnsi="Arial" w:cs="Arial"/>
        </w:rPr>
        <w:t>connections</w:t>
      </w:r>
      <w:proofErr w:type="gramEnd"/>
    </w:p>
    <w:p w14:paraId="31230351" w14:textId="77777777" w:rsidR="00957E1A" w:rsidRPr="00957E1A" w:rsidRDefault="00957E1A" w:rsidP="00957E1A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180"/>
        <w:rPr>
          <w:rFonts w:ascii="Arial" w:hAnsi="Arial" w:cs="Arial"/>
        </w:rPr>
      </w:pPr>
      <w:r w:rsidRPr="00957E1A">
        <w:rPr>
          <w:rFonts w:ascii="Arial" w:hAnsi="Arial" w:cs="Arial"/>
        </w:rPr>
        <w:t>a list of parts requiring replacement</w:t>
      </w:r>
    </w:p>
    <w:p w14:paraId="27430CA0" w14:textId="77777777" w:rsidR="00957E1A" w:rsidRPr="00957E1A" w:rsidRDefault="00957E1A" w:rsidP="00957E1A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180"/>
        <w:rPr>
          <w:rFonts w:ascii="Arial" w:hAnsi="Arial" w:cs="Arial"/>
        </w:rPr>
      </w:pPr>
      <w:r w:rsidRPr="00957E1A">
        <w:rPr>
          <w:rFonts w:ascii="Arial" w:hAnsi="Arial" w:cs="Arial"/>
        </w:rPr>
        <w:t>a parts list with illustrations and identifications</w:t>
      </w:r>
    </w:p>
    <w:p w14:paraId="52481391" w14:textId="77777777" w:rsidR="00957E1A" w:rsidRPr="00957E1A" w:rsidRDefault="00957E1A" w:rsidP="00957E1A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180"/>
        <w:rPr>
          <w:rFonts w:ascii="Arial" w:hAnsi="Arial" w:cs="Arial"/>
        </w:rPr>
      </w:pPr>
      <w:r w:rsidRPr="00957E1A">
        <w:rPr>
          <w:rFonts w:ascii="Arial" w:hAnsi="Arial" w:cs="Arial"/>
        </w:rPr>
        <w:t>identification numbers for each door</w:t>
      </w:r>
    </w:p>
    <w:p w14:paraId="3223796B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15F5CC4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1.6  QUALITY ASSURANCE</w:t>
      </w:r>
    </w:p>
    <w:p w14:paraId="11A96694" w14:textId="1956B937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20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1.6.1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Installer with factory-approved qualifications.</w:t>
      </w:r>
    </w:p>
    <w:p w14:paraId="2AD0FF81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2EE6B322" w14:textId="77777777" w:rsidR="00957E1A" w:rsidRPr="00957E1A" w:rsidRDefault="00957E1A" w:rsidP="00957E1A">
      <w:pPr>
        <w:spacing w:after="0" w:line="240" w:lineRule="auto"/>
        <w:rPr>
          <w:rFonts w:ascii="Arial" w:hAnsi="Arial" w:cs="Arial"/>
          <w:b/>
          <w:bCs/>
        </w:rPr>
      </w:pPr>
      <w:r w:rsidRPr="00957E1A">
        <w:rPr>
          <w:rFonts w:ascii="Arial" w:hAnsi="Arial" w:cs="Arial"/>
          <w:b/>
          <w:bCs/>
        </w:rPr>
        <w:t>PART 2 – PRODUCTS</w:t>
      </w:r>
    </w:p>
    <w:p w14:paraId="6372ECD3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4AF453D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2.1  PRODUCTS</w:t>
      </w:r>
    </w:p>
    <w:p w14:paraId="1A402164" w14:textId="62BC1B6F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2.1.1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The acceptable rubber roll-up door is to be the Model HDXL6 spring counterbalanced design as manufactured by Hörmann. </w:t>
      </w:r>
    </w:p>
    <w:p w14:paraId="294DB01A" w14:textId="77777777" w:rsidR="00957E1A" w:rsidRPr="00957E1A" w:rsidRDefault="00957E1A" w:rsidP="00957E1A">
      <w:pPr>
        <w:tabs>
          <w:tab w:val="left" w:pos="1440"/>
        </w:tabs>
        <w:spacing w:after="0" w:line="240" w:lineRule="auto"/>
        <w:ind w:left="1440" w:hanging="731"/>
        <w:rPr>
          <w:rFonts w:ascii="Arial" w:hAnsi="Arial" w:cs="Arial"/>
        </w:rPr>
      </w:pPr>
    </w:p>
    <w:p w14:paraId="2469A6D2" w14:textId="65755D98" w:rsidR="00957E1A" w:rsidRPr="00957E1A" w:rsidRDefault="00957E1A" w:rsidP="00957E1A">
      <w:pPr>
        <w:tabs>
          <w:tab w:val="left" w:pos="1440"/>
        </w:tabs>
        <w:spacing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2.1.2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Substitutions will not be accepted.</w:t>
      </w:r>
    </w:p>
    <w:p w14:paraId="043183CF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7A9A548B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2.2  CURTAIN</w:t>
      </w:r>
    </w:p>
    <w:p w14:paraId="0DAA491E" w14:textId="6BE60D75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2.2.1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Two (2) layers of Styrene Butadiene Rubber (SBR) each 3.2 mm (⅛ in) thick, 70 </w:t>
      </w:r>
      <w:proofErr w:type="gramStart"/>
      <w:r w:rsidRPr="00957E1A">
        <w:rPr>
          <w:rFonts w:ascii="Arial" w:hAnsi="Arial" w:cs="Arial"/>
        </w:rPr>
        <w:t>durometer</w:t>
      </w:r>
      <w:proofErr w:type="gramEnd"/>
      <w:r w:rsidRPr="00957E1A">
        <w:rPr>
          <w:rFonts w:ascii="Arial" w:hAnsi="Arial" w:cs="Arial"/>
        </w:rPr>
        <w:t xml:space="preserve">, reinforced with 1-ply, 50 kg (110 </w:t>
      </w:r>
      <w:proofErr w:type="spellStart"/>
      <w:r w:rsidRPr="00957E1A">
        <w:rPr>
          <w:rFonts w:ascii="Arial" w:hAnsi="Arial" w:cs="Arial"/>
        </w:rPr>
        <w:t>lb</w:t>
      </w:r>
      <w:proofErr w:type="spellEnd"/>
      <w:r w:rsidRPr="00957E1A">
        <w:rPr>
          <w:rFonts w:ascii="Arial" w:hAnsi="Arial" w:cs="Arial"/>
        </w:rPr>
        <w:t xml:space="preserve">) polyester cord </w:t>
      </w:r>
      <w:proofErr w:type="spellStart"/>
      <w:r w:rsidRPr="00957E1A">
        <w:rPr>
          <w:rFonts w:ascii="Arial" w:hAnsi="Arial" w:cs="Arial"/>
        </w:rPr>
        <w:t>centre</w:t>
      </w:r>
      <w:proofErr w:type="spellEnd"/>
      <w:r w:rsidRPr="00957E1A">
        <w:rPr>
          <w:rFonts w:ascii="Arial" w:hAnsi="Arial" w:cs="Arial"/>
        </w:rPr>
        <w:t>. Overall thickness is 6.4 mm (¼ in). Material provides normal resiliency and flexibility at temperatures ranging from -40°C to +85°C (-40°F to +180°F).</w:t>
      </w:r>
    </w:p>
    <w:p w14:paraId="58C3B7AC" w14:textId="739F2FB8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2.2.2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Complete with molded Curtain </w:t>
      </w:r>
      <w:proofErr w:type="spellStart"/>
      <w:r w:rsidRPr="00957E1A">
        <w:rPr>
          <w:rFonts w:ascii="Arial" w:hAnsi="Arial" w:cs="Arial"/>
        </w:rPr>
        <w:t>Loks</w:t>
      </w:r>
      <w:proofErr w:type="spellEnd"/>
      <w:r w:rsidRPr="00957E1A">
        <w:rPr>
          <w:rFonts w:ascii="Arial" w:hAnsi="Arial" w:cs="Arial"/>
        </w:rPr>
        <w:t xml:space="preserve">™ that are mechanically attached to the vertical edges of the curtain material. This retention system maintains and holds the curtain in guides under heavy </w:t>
      </w:r>
      <w:proofErr w:type="spellStart"/>
      <w:r w:rsidRPr="00957E1A">
        <w:rPr>
          <w:rFonts w:ascii="Arial" w:hAnsi="Arial" w:cs="Arial"/>
        </w:rPr>
        <w:t>windload</w:t>
      </w:r>
      <w:proofErr w:type="spellEnd"/>
      <w:r w:rsidRPr="00957E1A">
        <w:rPr>
          <w:rFonts w:ascii="Arial" w:hAnsi="Arial" w:cs="Arial"/>
        </w:rPr>
        <w:t xml:space="preserve"> conditions. </w:t>
      </w:r>
    </w:p>
    <w:p w14:paraId="676A2F07" w14:textId="3CF6AD8A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2.2.3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Continuous glued SBR </w:t>
      </w:r>
      <w:proofErr w:type="spellStart"/>
      <w:r w:rsidRPr="00957E1A">
        <w:rPr>
          <w:rFonts w:ascii="Arial" w:hAnsi="Arial" w:cs="Arial"/>
        </w:rPr>
        <w:t>windlock</w:t>
      </w:r>
      <w:proofErr w:type="spellEnd"/>
      <w:r w:rsidRPr="00957E1A">
        <w:rPr>
          <w:rFonts w:ascii="Arial" w:hAnsi="Arial" w:cs="Arial"/>
        </w:rPr>
        <w:t xml:space="preserve"> or </w:t>
      </w:r>
      <w:proofErr w:type="spellStart"/>
      <w:r w:rsidRPr="00957E1A">
        <w:rPr>
          <w:rFonts w:ascii="Arial" w:hAnsi="Arial" w:cs="Arial"/>
        </w:rPr>
        <w:t>moulded</w:t>
      </w:r>
      <w:proofErr w:type="spellEnd"/>
      <w:r w:rsidRPr="00957E1A">
        <w:rPr>
          <w:rFonts w:ascii="Arial" w:hAnsi="Arial" w:cs="Arial"/>
        </w:rPr>
        <w:t xml:space="preserve"> in place Teflon </w:t>
      </w:r>
      <w:proofErr w:type="spellStart"/>
      <w:r w:rsidRPr="00957E1A">
        <w:rPr>
          <w:rFonts w:ascii="Arial" w:hAnsi="Arial" w:cs="Arial"/>
        </w:rPr>
        <w:t>windlock</w:t>
      </w:r>
      <w:proofErr w:type="spellEnd"/>
      <w:r w:rsidRPr="00957E1A">
        <w:rPr>
          <w:rFonts w:ascii="Arial" w:hAnsi="Arial" w:cs="Arial"/>
        </w:rPr>
        <w:t xml:space="preserve"> designs will not be accepted.</w:t>
      </w:r>
    </w:p>
    <w:p w14:paraId="6F9B0ECF" w14:textId="5E6C5F2C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2.2.4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Standard Color: Black. Also available in Blue or Grey EPDM, Black nitrile, flame-retardant self-extinguishing Black MSHA rated.</w:t>
      </w:r>
    </w:p>
    <w:p w14:paraId="2A94114A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0D68018D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2.3  GUIDES</w:t>
      </w:r>
    </w:p>
    <w:p w14:paraId="6A104481" w14:textId="113433A0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2.3.1  </w:t>
      </w:r>
      <w:r>
        <w:rPr>
          <w:rFonts w:ascii="Arial" w:hAnsi="Arial" w:cs="Arial"/>
        </w:rPr>
        <w:tab/>
      </w:r>
      <w:r w:rsidRPr="00957E1A">
        <w:rPr>
          <w:rFonts w:ascii="Arial" w:hAnsi="Arial" w:cs="Arial"/>
        </w:rPr>
        <w:t>Side curtain retention: NEWGEN</w:t>
      </w:r>
      <w:r w:rsidRPr="00957E1A">
        <w:rPr>
          <w:rFonts w:ascii="Arial" w:hAnsi="Arial" w:cs="Arial"/>
          <w:vertAlign w:val="superscript"/>
        </w:rPr>
        <w:t xml:space="preserve">® </w:t>
      </w:r>
      <w:r w:rsidRPr="00957E1A">
        <w:rPr>
          <w:rFonts w:ascii="Arial" w:hAnsi="Arial" w:cs="Arial"/>
        </w:rPr>
        <w:t xml:space="preserve"> Guides shall be one-piece extruded aluminum to form a slot of sufficient depth to allow the Curtain Lok™ to </w:t>
      </w:r>
      <w:proofErr w:type="gramStart"/>
      <w:r w:rsidRPr="00957E1A">
        <w:rPr>
          <w:rFonts w:ascii="Arial" w:hAnsi="Arial" w:cs="Arial"/>
        </w:rPr>
        <w:t>move freely in the guides at all times</w:t>
      </w:r>
      <w:proofErr w:type="gramEnd"/>
      <w:r w:rsidRPr="00957E1A">
        <w:rPr>
          <w:rFonts w:ascii="Arial" w:hAnsi="Arial" w:cs="Arial"/>
        </w:rPr>
        <w:t>. Aluminum members are to be of sufficient thickness and rigidity to maintain the Curtain Lok™ within the guides during normal operation.</w:t>
      </w:r>
    </w:p>
    <w:p w14:paraId="20DE5002" w14:textId="77777777" w:rsidR="0048599F" w:rsidRDefault="0048599F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</w:p>
    <w:p w14:paraId="0D20F13E" w14:textId="0BB018F9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2.3.2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Steel guides (bolted or spring-loaded) will not be accepted.</w:t>
      </w:r>
    </w:p>
    <w:p w14:paraId="43D38BF9" w14:textId="7DBABD6E" w:rsidR="00957E1A" w:rsidRPr="00957E1A" w:rsidRDefault="00957E1A" w:rsidP="00957E1A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2.3.3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Side frame:  Mounting steel channel assembly is provided for installation directly onto concrete or steel door framing.  Additional customization of door frame is not required.</w:t>
      </w:r>
    </w:p>
    <w:p w14:paraId="25ADAEFE" w14:textId="77777777" w:rsidR="00957E1A" w:rsidRPr="00957E1A" w:rsidRDefault="00957E1A" w:rsidP="00957E1A">
      <w:pPr>
        <w:spacing w:after="0" w:line="240" w:lineRule="auto"/>
        <w:ind w:left="709"/>
        <w:rPr>
          <w:rFonts w:ascii="Arial" w:hAnsi="Arial" w:cs="Arial"/>
        </w:rPr>
      </w:pPr>
    </w:p>
    <w:p w14:paraId="131F1075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2.4  BOTTOM RAIL</w:t>
      </w:r>
    </w:p>
    <w:p w14:paraId="29C7053D" w14:textId="1CE1AD59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2.4.1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Bottom bar shall extend the full width of the curtain, sufficient to </w:t>
      </w:r>
      <w:proofErr w:type="gramStart"/>
      <w:r w:rsidRPr="00957E1A">
        <w:rPr>
          <w:rFonts w:ascii="Arial" w:hAnsi="Arial" w:cs="Arial"/>
        </w:rPr>
        <w:t>maintain the bottom edge of the curtain parallel to the door threshold at all times</w:t>
      </w:r>
      <w:proofErr w:type="gramEnd"/>
      <w:r w:rsidRPr="00957E1A">
        <w:rPr>
          <w:rFonts w:ascii="Arial" w:hAnsi="Arial" w:cs="Arial"/>
        </w:rPr>
        <w:t>.  The bottom bar shall be constructed of two steel angles bolted together and shall have a knock-away section to reduce risk of damage during accidental impact.</w:t>
      </w:r>
    </w:p>
    <w:p w14:paraId="5320B97E" w14:textId="18C3FDC9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2.4.2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Knock-away bottom bar to be reset without the need to open side frames.  Single angle design will not be accepted.</w:t>
      </w:r>
    </w:p>
    <w:p w14:paraId="297909CA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23795D41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2.5  ROLL-UP DOOR SYSTEM</w:t>
      </w:r>
    </w:p>
    <w:p w14:paraId="01FB5C69" w14:textId="55388915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2.5.1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The curtain is to be rolled on a barrel of sufficient size to carry the door load with a deflection of not more than 2.5 mm/m (.03 inch per foot) of opening width. Drive barrel shafts to be constructed of minimum 63.5 mm (2½ in) C1018 cold rolled steel shafts.</w:t>
      </w:r>
    </w:p>
    <w:p w14:paraId="2314DACC" w14:textId="74EFBED8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2.5.2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Door shall be designed to operate safely with the use of a spring counterbalance system (i.e. – sprung design).  </w:t>
      </w:r>
    </w:p>
    <w:p w14:paraId="721A95DB" w14:textId="561DE954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2.5.3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The Idler Barrel shall be constructed of 168 mm (6 ⅝ in) OD round HSS tubing with a minimum wall thickness of 4.8 mm (0.188 in) and supported by 38 mm </w:t>
      </w:r>
      <w:r w:rsidR="0048599F">
        <w:rPr>
          <w:rFonts w:ascii="Arial" w:hAnsi="Arial" w:cs="Arial"/>
        </w:rPr>
        <w:t xml:space="preserve">    </w:t>
      </w:r>
      <w:r w:rsidRPr="00957E1A">
        <w:rPr>
          <w:rFonts w:ascii="Arial" w:hAnsi="Arial" w:cs="Arial"/>
        </w:rPr>
        <w:t>(1 ½ in) C1018 Cold Rolled steel shafts at each end. Idler must be guide mounted not end bracket mounted for proper tracking of curtain into NEWGEN</w:t>
      </w:r>
      <w:r w:rsidRPr="0048599F">
        <w:rPr>
          <w:rFonts w:ascii="Arial" w:hAnsi="Arial" w:cs="Arial"/>
          <w:vertAlign w:val="superscript"/>
        </w:rPr>
        <w:t>®</w:t>
      </w:r>
      <w:r w:rsidRPr="00957E1A">
        <w:rPr>
          <w:rFonts w:ascii="Arial" w:hAnsi="Arial" w:cs="Arial"/>
        </w:rPr>
        <w:t xml:space="preserve"> Guides.</w:t>
      </w:r>
    </w:p>
    <w:p w14:paraId="00F3E9EC" w14:textId="77777777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2.5.4  End brackets are constructed of 13 mm (½ in) hot-rolled steel plate complete with sealed, heavy-duty, self-aligning bearings with cast iron housings to support the drive barrel.  Bearings shall be load-rated at 5000 kg (11023 </w:t>
      </w:r>
      <w:proofErr w:type="spellStart"/>
      <w:r w:rsidRPr="00957E1A">
        <w:rPr>
          <w:rFonts w:ascii="Arial" w:hAnsi="Arial" w:cs="Arial"/>
        </w:rPr>
        <w:t>lb</w:t>
      </w:r>
      <w:proofErr w:type="spellEnd"/>
      <w:r w:rsidRPr="00957E1A">
        <w:rPr>
          <w:rFonts w:ascii="Arial" w:hAnsi="Arial" w:cs="Arial"/>
        </w:rPr>
        <w:t xml:space="preserve">) dynamic and 3000 kg (6614 </w:t>
      </w:r>
      <w:proofErr w:type="spellStart"/>
      <w:r w:rsidRPr="00957E1A">
        <w:rPr>
          <w:rFonts w:ascii="Arial" w:hAnsi="Arial" w:cs="Arial"/>
        </w:rPr>
        <w:t>lb</w:t>
      </w:r>
      <w:proofErr w:type="spellEnd"/>
      <w:r w:rsidRPr="00957E1A">
        <w:rPr>
          <w:rFonts w:ascii="Arial" w:hAnsi="Arial" w:cs="Arial"/>
        </w:rPr>
        <w:t>) static.</w:t>
      </w:r>
    </w:p>
    <w:p w14:paraId="2861C3D9" w14:textId="77777777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2.5.5  Welded Truss shall brace endplates together at the top and bottom with 2 in x 4 in x 0.188 in HSS and 2 in x 1 in x 0.125 in HSS angle diagonal bracing.</w:t>
      </w:r>
    </w:p>
    <w:p w14:paraId="49A32FC1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146BCEE1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2.6  REVERSING EDGE</w:t>
      </w:r>
    </w:p>
    <w:p w14:paraId="46A2415D" w14:textId="77777777" w:rsidR="0048599F" w:rsidRDefault="004859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C2467" w14:textId="77777777" w:rsidR="0048599F" w:rsidRDefault="0048599F" w:rsidP="00957E1A">
      <w:pPr>
        <w:spacing w:before="240" w:after="0" w:line="240" w:lineRule="auto"/>
        <w:ind w:left="709"/>
        <w:rPr>
          <w:rFonts w:ascii="Arial" w:hAnsi="Arial" w:cs="Arial"/>
        </w:rPr>
      </w:pPr>
    </w:p>
    <w:p w14:paraId="06EC3BC0" w14:textId="0A5854DD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2.6.1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Door to be equipped with reversing sensing edge to stop and reverse door to manufacturer’s standard.  A ⅛” thick EPDM rubber loop shall wrap the reversing edge.  Both the reversing edge and rubber loop must be replaceable without removing the bottom bar from the curtain.</w:t>
      </w:r>
    </w:p>
    <w:p w14:paraId="2FBCD618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6F4F9ADF" w14:textId="7E448C18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2.7  ACCESSORIES</w:t>
      </w:r>
    </w:p>
    <w:p w14:paraId="5BF543BD" w14:textId="3D6DB853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20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2.7.1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Various accessories are available such as radio controls, motion sensors, loop detectors, pull cords, traffic lights, thru-beam photocells, pneumatic reversing edge, etc.</w:t>
      </w:r>
    </w:p>
    <w:p w14:paraId="6B3484B2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58D3951A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2.8  CONSTRUCTION</w:t>
      </w:r>
    </w:p>
    <w:p w14:paraId="480BEAC6" w14:textId="54228704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2.8.1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Doors: constructed of steel, aluminum and SBR rubber/woven curtain.</w:t>
      </w:r>
    </w:p>
    <w:p w14:paraId="0C3A9017" w14:textId="4BA29140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2.8.2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Structural elements: assembled by welding or by mechanical fasteners.</w:t>
      </w:r>
    </w:p>
    <w:p w14:paraId="3DB673E2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 </w:t>
      </w:r>
    </w:p>
    <w:p w14:paraId="1B88816A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2.9  OPERATION OF DOOR</w:t>
      </w:r>
    </w:p>
    <w:p w14:paraId="5ED990F4" w14:textId="26E303ED" w:rsidR="00957E1A" w:rsidRPr="00957E1A" w:rsidRDefault="00957E1A" w:rsidP="0048599F">
      <w:pPr>
        <w:spacing w:before="240" w:after="0" w:line="240" w:lineRule="auto"/>
        <w:ind w:left="1440" w:hanging="720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2.9.1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Doors shall be equipped for operation by:</w:t>
      </w:r>
    </w:p>
    <w:p w14:paraId="5B9ACB7D" w14:textId="5D718812" w:rsidR="00957E1A" w:rsidRPr="00957E1A" w:rsidRDefault="00957E1A" w:rsidP="0048599F">
      <w:pPr>
        <w:spacing w:after="0" w:line="240" w:lineRule="auto"/>
        <w:ind w:left="1440"/>
        <w:rPr>
          <w:rFonts w:ascii="Arial" w:hAnsi="Arial" w:cs="Arial"/>
        </w:rPr>
      </w:pPr>
      <w:r w:rsidRPr="00957E1A">
        <w:rPr>
          <w:rFonts w:ascii="Arial" w:hAnsi="Arial" w:cs="Arial"/>
        </w:rPr>
        <w:t>a)</w:t>
      </w:r>
      <w:r w:rsidR="0048599F">
        <w:rPr>
          <w:rFonts w:ascii="Arial" w:hAnsi="Arial" w:cs="Arial"/>
        </w:rPr>
        <w:t xml:space="preserve">  </w:t>
      </w:r>
      <w:r w:rsidRPr="00957E1A">
        <w:rPr>
          <w:rFonts w:ascii="Arial" w:hAnsi="Arial" w:cs="Arial"/>
        </w:rPr>
        <w:t>electric operator</w:t>
      </w:r>
    </w:p>
    <w:p w14:paraId="5C7D54FF" w14:textId="41E38E95" w:rsidR="00957E1A" w:rsidRPr="00957E1A" w:rsidRDefault="00957E1A" w:rsidP="0048599F">
      <w:pPr>
        <w:spacing w:after="0" w:line="240" w:lineRule="auto"/>
        <w:ind w:left="1440"/>
        <w:rPr>
          <w:rFonts w:ascii="Arial" w:hAnsi="Arial" w:cs="Arial"/>
        </w:rPr>
      </w:pPr>
      <w:r w:rsidRPr="00957E1A">
        <w:rPr>
          <w:rFonts w:ascii="Arial" w:hAnsi="Arial" w:cs="Arial"/>
        </w:rPr>
        <w:t>b)</w:t>
      </w:r>
      <w:r w:rsidR="0048599F">
        <w:rPr>
          <w:rFonts w:ascii="Arial" w:hAnsi="Arial" w:cs="Arial"/>
        </w:rPr>
        <w:t xml:space="preserve">  </w:t>
      </w:r>
      <w:r w:rsidRPr="00957E1A">
        <w:rPr>
          <w:rFonts w:ascii="Arial" w:hAnsi="Arial" w:cs="Arial"/>
        </w:rPr>
        <w:t>manual chain hoist</w:t>
      </w:r>
    </w:p>
    <w:p w14:paraId="4F32ABA1" w14:textId="77777777" w:rsidR="00957E1A" w:rsidRPr="00957E1A" w:rsidRDefault="00957E1A" w:rsidP="00957E1A">
      <w:pPr>
        <w:spacing w:before="240"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2.10  MANUAL OPERATION</w:t>
      </w:r>
    </w:p>
    <w:p w14:paraId="65EF1607" w14:textId="3048CB35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2.10.1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Emergency manual chain hoist shall be provided to allow manual door operation.</w:t>
      </w:r>
    </w:p>
    <w:p w14:paraId="202D02E1" w14:textId="4A18582F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2.10.2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Chain hoist shall be of sufficient capacity to operate a door at a maximum pull requirement of 9 to 14 kg (20 to 30 </w:t>
      </w:r>
      <w:proofErr w:type="spellStart"/>
      <w:r w:rsidRPr="00957E1A">
        <w:rPr>
          <w:rFonts w:ascii="Arial" w:hAnsi="Arial" w:cs="Arial"/>
        </w:rPr>
        <w:t>lb</w:t>
      </w:r>
      <w:proofErr w:type="spellEnd"/>
      <w:r w:rsidRPr="00957E1A">
        <w:rPr>
          <w:rFonts w:ascii="Arial" w:hAnsi="Arial" w:cs="Arial"/>
        </w:rPr>
        <w:t xml:space="preserve">). The static load on the hand chain to hold the door in any position must not exceed 5 kg (11 </w:t>
      </w:r>
      <w:proofErr w:type="spellStart"/>
      <w:r w:rsidRPr="00957E1A">
        <w:rPr>
          <w:rFonts w:ascii="Arial" w:hAnsi="Arial" w:cs="Arial"/>
        </w:rPr>
        <w:t>lb</w:t>
      </w:r>
      <w:proofErr w:type="spellEnd"/>
      <w:r w:rsidRPr="00957E1A">
        <w:rPr>
          <w:rFonts w:ascii="Arial" w:hAnsi="Arial" w:cs="Arial"/>
        </w:rPr>
        <w:t>).</w:t>
      </w:r>
    </w:p>
    <w:p w14:paraId="79D440A2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5EC09151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2.11  ELECTRICAL OPERATION</w:t>
      </w:r>
    </w:p>
    <w:p w14:paraId="1C93C40B" w14:textId="44659A7C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2.11.1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Electric door operators shall be CSA/UL approved, Model HG, heavy-duty gearhead type complete with pre-wired, number coded control cabinet as required, to manufacturer’s standard.</w:t>
      </w:r>
    </w:p>
    <w:p w14:paraId="6BD497E2" w14:textId="42C7B622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2.11.2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Motor to be TEFC, high-starting torque, flange &amp; foot mount, hoist-type, operating through a parallel helical gear reducer mechanism. The gear reducer is mounted on a heavy-duty base of ⁵/</w:t>
      </w:r>
      <w:r w:rsidRPr="00957E1A">
        <w:rPr>
          <w:rFonts w:ascii="Cambria Math" w:hAnsi="Cambria Math" w:cs="Cambria Math"/>
        </w:rPr>
        <w:t>₁₆</w:t>
      </w:r>
      <w:r w:rsidRPr="00957E1A">
        <w:rPr>
          <w:rFonts w:ascii="Arial" w:hAnsi="Arial" w:cs="Arial"/>
        </w:rPr>
        <w:t xml:space="preserve"> inch steel. Worm gear reducer will not be accepted.</w:t>
      </w:r>
    </w:p>
    <w:p w14:paraId="55D3BAA7" w14:textId="31499B74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2.11.3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Motor and </w:t>
      </w:r>
      <w:proofErr w:type="spellStart"/>
      <w:r w:rsidRPr="00957E1A">
        <w:rPr>
          <w:rFonts w:ascii="Arial" w:hAnsi="Arial" w:cs="Arial"/>
        </w:rPr>
        <w:t>sprocketing</w:t>
      </w:r>
      <w:proofErr w:type="spellEnd"/>
      <w:r w:rsidRPr="00957E1A">
        <w:rPr>
          <w:rFonts w:ascii="Arial" w:hAnsi="Arial" w:cs="Arial"/>
        </w:rPr>
        <w:t xml:space="preserve"> to be of capacity to open door at maximum speeds of up to 12 inches per second, depending on door size to manufacturer’s standard, rated for X horsepower, X voltage, X phase, X frequency.</w:t>
      </w:r>
    </w:p>
    <w:p w14:paraId="1DC857C9" w14:textId="77777777" w:rsidR="0048599F" w:rsidRDefault="0048599F" w:rsidP="00957E1A">
      <w:pPr>
        <w:spacing w:before="240" w:after="0" w:line="240" w:lineRule="auto"/>
        <w:ind w:left="709"/>
        <w:rPr>
          <w:rFonts w:ascii="Arial" w:hAnsi="Arial" w:cs="Arial"/>
        </w:rPr>
      </w:pPr>
    </w:p>
    <w:p w14:paraId="36AC74C1" w14:textId="396ADA9D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2.11.4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Operator shall be equipped with rotary screw-type limit switches to control open and close door positions as well as an electro-mechanical brake system to stop and hold door in any position to manufacturer’s standards.</w:t>
      </w:r>
    </w:p>
    <w:p w14:paraId="342F98BE" w14:textId="77777777" w:rsidR="0048599F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2.11.5  Operator shall be equipped with built-in manual emergency chain hoist. Built-in electrical interlock shall prevent motor operation during use of manual chain hoist.</w:t>
      </w:r>
    </w:p>
    <w:p w14:paraId="7902D7A9" w14:textId="1F26F271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2.11.7  Control Box </w:t>
      </w:r>
    </w:p>
    <w:p w14:paraId="7D186E38" w14:textId="29281603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270"/>
        <w:rPr>
          <w:rFonts w:ascii="Arial" w:hAnsi="Arial" w:cs="Arial"/>
        </w:rPr>
      </w:pPr>
      <w:r w:rsidRPr="00957E1A">
        <w:rPr>
          <w:rFonts w:ascii="Arial" w:hAnsi="Arial" w:cs="Arial"/>
        </w:rPr>
        <w:t>a)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Enclosure shall be NEMA </w:t>
      </w:r>
      <w:proofErr w:type="gramStart"/>
      <w:r w:rsidRPr="00957E1A">
        <w:rPr>
          <w:rFonts w:ascii="Arial" w:hAnsi="Arial" w:cs="Arial"/>
        </w:rPr>
        <w:t>4</w:t>
      </w:r>
      <w:proofErr w:type="gramEnd"/>
      <w:r w:rsidRPr="00957E1A">
        <w:rPr>
          <w:rFonts w:ascii="Arial" w:hAnsi="Arial" w:cs="Arial"/>
        </w:rPr>
        <w:t xml:space="preserve"> and wiring shall be completed by manufacturer and shall be UL listed. </w:t>
      </w:r>
    </w:p>
    <w:p w14:paraId="2D49560D" w14:textId="1215D0C3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270"/>
        <w:rPr>
          <w:rFonts w:ascii="Arial" w:hAnsi="Arial" w:cs="Arial"/>
        </w:rPr>
      </w:pPr>
      <w:r w:rsidRPr="00957E1A">
        <w:rPr>
          <w:rFonts w:ascii="Arial" w:hAnsi="Arial" w:cs="Arial"/>
        </w:rPr>
        <w:t>b)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 xml:space="preserve">Drive system shall be controlled by programmable logic controller (PLC). Optional custom designed control system and/or components are available. </w:t>
      </w:r>
    </w:p>
    <w:p w14:paraId="7177065D" w14:textId="33C271EF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270"/>
        <w:rPr>
          <w:rFonts w:ascii="Arial" w:hAnsi="Arial" w:cs="Arial"/>
        </w:rPr>
      </w:pPr>
      <w:r w:rsidRPr="00957E1A">
        <w:rPr>
          <w:rFonts w:ascii="Arial" w:hAnsi="Arial" w:cs="Arial"/>
        </w:rPr>
        <w:t>c)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Control box shall have fused primary power, adjustable closing timer, three (3) push buttons for open, close and stop functions, push/pull mushroom button E-stop and a cycle counter.</w:t>
      </w:r>
    </w:p>
    <w:p w14:paraId="7E3C0F39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6120FE35" w14:textId="77777777" w:rsidR="00957E1A" w:rsidRPr="00957E1A" w:rsidRDefault="00957E1A" w:rsidP="00957E1A">
      <w:pPr>
        <w:spacing w:after="0" w:line="240" w:lineRule="auto"/>
        <w:rPr>
          <w:rFonts w:ascii="Arial" w:hAnsi="Arial" w:cs="Arial"/>
          <w:b/>
          <w:bCs/>
        </w:rPr>
      </w:pPr>
      <w:r w:rsidRPr="00957E1A">
        <w:rPr>
          <w:rFonts w:ascii="Arial" w:hAnsi="Arial" w:cs="Arial"/>
          <w:b/>
          <w:bCs/>
        </w:rPr>
        <w:t>PART 3 – EXECUTION</w:t>
      </w:r>
    </w:p>
    <w:p w14:paraId="49C524E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</w:p>
    <w:p w14:paraId="2B247540" w14:textId="77777777" w:rsidR="00957E1A" w:rsidRPr="00957E1A" w:rsidRDefault="00957E1A" w:rsidP="00957E1A">
      <w:pPr>
        <w:spacing w:after="0" w:line="240" w:lineRule="auto"/>
        <w:rPr>
          <w:rFonts w:ascii="Arial" w:hAnsi="Arial" w:cs="Arial"/>
        </w:rPr>
      </w:pPr>
      <w:r w:rsidRPr="00957E1A">
        <w:rPr>
          <w:rFonts w:ascii="Arial" w:hAnsi="Arial" w:cs="Arial"/>
        </w:rPr>
        <w:t>3.1  INSTALLATION</w:t>
      </w:r>
    </w:p>
    <w:p w14:paraId="30B2E3DB" w14:textId="4866C45E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3.1.1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Install doors in accordance with manufacturer’s printed instructions.</w:t>
      </w:r>
    </w:p>
    <w:p w14:paraId="59DC0699" w14:textId="03AFB493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>3.1.2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Install electrical motors, controller units, push-button stations and other electrical equipment required for door operation.</w:t>
      </w:r>
    </w:p>
    <w:p w14:paraId="68F604B4" w14:textId="2B5D73E5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3.1.3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All electrical wiring including power supply, control and interface located near the door to be installed by an electrical contractor (to be put into electrical contractor’s specification).</w:t>
      </w:r>
    </w:p>
    <w:p w14:paraId="411F6786" w14:textId="3B33E73E" w:rsidR="00957E1A" w:rsidRPr="00957E1A" w:rsidRDefault="00957E1A" w:rsidP="0048599F">
      <w:pPr>
        <w:tabs>
          <w:tab w:val="left" w:pos="1440"/>
        </w:tabs>
        <w:spacing w:before="240" w:after="0" w:line="240" w:lineRule="auto"/>
        <w:ind w:left="1440" w:hanging="731"/>
        <w:rPr>
          <w:rFonts w:ascii="Arial" w:hAnsi="Arial" w:cs="Arial"/>
        </w:rPr>
      </w:pPr>
      <w:r w:rsidRPr="00957E1A">
        <w:rPr>
          <w:rFonts w:ascii="Arial" w:hAnsi="Arial" w:cs="Arial"/>
        </w:rPr>
        <w:t xml:space="preserve">3.1.4  </w:t>
      </w:r>
      <w:r w:rsidR="0048599F">
        <w:rPr>
          <w:rFonts w:ascii="Arial" w:hAnsi="Arial" w:cs="Arial"/>
        </w:rPr>
        <w:tab/>
      </w:r>
      <w:r w:rsidRPr="00957E1A">
        <w:rPr>
          <w:rFonts w:ascii="Arial" w:hAnsi="Arial" w:cs="Arial"/>
        </w:rPr>
        <w:t>Upon completion of the door and electrical installation, the door installer must make necessary adjustments to the door to ensure smooth operation.</w:t>
      </w:r>
      <w:bookmarkStart w:id="0" w:name="AbspannZ0"/>
      <w:bookmarkEnd w:id="0"/>
    </w:p>
    <w:p w14:paraId="6A56D34F" w14:textId="010BDF41" w:rsidR="00154A09" w:rsidRPr="00957E1A" w:rsidRDefault="00154A09" w:rsidP="00957E1A">
      <w:p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</w:p>
    <w:sectPr w:rsidR="00154A09" w:rsidRPr="00957E1A" w:rsidSect="00567137">
      <w:headerReference w:type="default" r:id="rId11"/>
      <w:footerReference w:type="default" r:id="rId12"/>
      <w:pgSz w:w="12240" w:h="15840" w:code="1"/>
      <w:pgMar w:top="1440" w:right="1440" w:bottom="1440" w:left="1440" w:header="115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FE84" w14:textId="77777777" w:rsidR="00330D0F" w:rsidRDefault="00330D0F" w:rsidP="003A543D">
      <w:pPr>
        <w:spacing w:after="0" w:line="240" w:lineRule="auto"/>
      </w:pPr>
      <w:r>
        <w:separator/>
      </w:r>
    </w:p>
  </w:endnote>
  <w:endnote w:type="continuationSeparator" w:id="0">
    <w:p w14:paraId="659919EE" w14:textId="77777777" w:rsidR="00330D0F" w:rsidRDefault="00330D0F" w:rsidP="003A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13B" w14:textId="08E259CF" w:rsidR="003A543D" w:rsidRPr="0018019A" w:rsidRDefault="00582BEB" w:rsidP="00E00DDF">
    <w:pPr>
      <w:pStyle w:val="Footer"/>
      <w:tabs>
        <w:tab w:val="clear" w:pos="9360"/>
      </w:tabs>
      <w:ind w:right="-480"/>
      <w:jc w:val="right"/>
      <w:rPr>
        <w:noProof/>
      </w:rPr>
    </w:pPr>
    <w:r>
      <w:rPr>
        <w:rFonts w:ascii="Arial" w:hAnsi="Arial" w:cs="Arial"/>
        <w:b/>
        <w:bCs/>
        <w:sz w:val="12"/>
        <w:szCs w:val="12"/>
      </w:rPr>
      <w:t>October</w:t>
    </w:r>
    <w:r w:rsidR="000D5BC3">
      <w:rPr>
        <w:rFonts w:ascii="Arial" w:hAnsi="Arial" w:cs="Arial"/>
        <w:b/>
        <w:bCs/>
        <w:sz w:val="12"/>
        <w:szCs w:val="12"/>
      </w:rPr>
      <w:t xml:space="preserve"> 202</w:t>
    </w:r>
    <w:r w:rsidR="0030297A">
      <w:rPr>
        <w:rFonts w:ascii="Arial" w:hAnsi="Arial" w:cs="Arial"/>
        <w:b/>
        <w:bCs/>
        <w:sz w:val="12"/>
        <w:szCs w:val="12"/>
      </w:rPr>
      <w:t>4</w:t>
    </w:r>
    <w:r w:rsidR="00DF684E">
      <w:rPr>
        <w:rFonts w:ascii="Arial" w:hAnsi="Arial" w:cs="Arial"/>
        <w:b/>
        <w:bCs/>
        <w:sz w:val="12"/>
        <w:szCs w:val="12"/>
      </w:rPr>
      <w:tab/>
    </w:r>
    <w:r w:rsidR="00DF684E">
      <w:rPr>
        <w:rFonts w:ascii="Arial" w:hAnsi="Arial" w:cs="Arial"/>
        <w:b/>
        <w:bCs/>
        <w:sz w:val="12"/>
        <w:szCs w:val="12"/>
      </w:rPr>
      <w:tab/>
    </w:r>
    <w:r w:rsidR="00680784" w:rsidRPr="00680784">
      <w:rPr>
        <w:rFonts w:ascii="Arial" w:hAnsi="Arial" w:cs="Arial"/>
        <w:b/>
        <w:bCs/>
        <w:sz w:val="12"/>
        <w:szCs w:val="12"/>
      </w:rPr>
      <w:t>TNR Industrial Doors</w:t>
    </w:r>
    <w:r w:rsidR="003A543D">
      <w:rPr>
        <w:rFonts w:ascii="Arial" w:hAnsi="Arial" w:cs="Arial"/>
        <w:sz w:val="12"/>
        <w:szCs w:val="12"/>
      </w:rPr>
      <w:t>,</w:t>
    </w:r>
    <w:r w:rsidR="003A543D" w:rsidRPr="008C024B">
      <w:rPr>
        <w:rFonts w:ascii="Arial" w:hAnsi="Arial" w:cs="Arial"/>
        <w:sz w:val="12"/>
        <w:szCs w:val="12"/>
      </w:rPr>
      <w:t xml:space="preserve"> </w:t>
    </w:r>
    <w:r w:rsidR="00680784" w:rsidRPr="00680784">
      <w:rPr>
        <w:rFonts w:ascii="Arial" w:hAnsi="Arial" w:cs="Arial"/>
        <w:sz w:val="12"/>
        <w:szCs w:val="12"/>
      </w:rPr>
      <w:t>200 Fairview Road, Unit #2 Barrie, ON Canada L4N 8X8</w:t>
    </w:r>
    <w:r w:rsidR="00E00DDF">
      <w:rPr>
        <w:rFonts w:ascii="Arial" w:hAnsi="Arial" w:cs="Arial"/>
        <w:sz w:val="12"/>
        <w:szCs w:val="12"/>
      </w:rPr>
      <w:t xml:space="preserve">        </w:t>
    </w:r>
    <w:r w:rsidR="00E00DDF" w:rsidRPr="00E00DDF">
      <w:t xml:space="preserve"> </w:t>
    </w:r>
    <w:sdt>
      <w:sdtPr>
        <w:id w:val="-620142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0DDF" w:rsidRPr="0018019A">
          <w:rPr>
            <w:rFonts w:ascii="Arial" w:hAnsi="Arial" w:cs="Arial"/>
            <w:sz w:val="12"/>
            <w:szCs w:val="12"/>
          </w:rPr>
          <w:fldChar w:fldCharType="begin"/>
        </w:r>
        <w:r w:rsidR="00E00DDF" w:rsidRPr="0018019A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="00E00DDF" w:rsidRPr="0018019A">
          <w:rPr>
            <w:rFonts w:ascii="Arial" w:hAnsi="Arial" w:cs="Arial"/>
            <w:sz w:val="12"/>
            <w:szCs w:val="12"/>
          </w:rPr>
          <w:fldChar w:fldCharType="separate"/>
        </w:r>
        <w:r w:rsidR="00E00DDF">
          <w:rPr>
            <w:rFonts w:ascii="Arial" w:hAnsi="Arial" w:cs="Arial"/>
            <w:sz w:val="12"/>
            <w:szCs w:val="12"/>
          </w:rPr>
          <w:t>1</w:t>
        </w:r>
        <w:r w:rsidR="00E00DDF" w:rsidRPr="0018019A">
          <w:rPr>
            <w:rFonts w:ascii="Arial" w:hAnsi="Arial" w:cs="Arial"/>
            <w:noProof/>
            <w:sz w:val="12"/>
            <w:szCs w:val="12"/>
          </w:rPr>
          <w:fldChar w:fldCharType="end"/>
        </w:r>
        <w:r w:rsidR="00E00DDF" w:rsidRPr="0018019A">
          <w:rPr>
            <w:rFonts w:ascii="Arial" w:hAnsi="Arial" w:cs="Arial"/>
            <w:noProof/>
            <w:sz w:val="12"/>
            <w:szCs w:val="12"/>
          </w:rPr>
          <w:t>/5</w:t>
        </w:r>
      </w:sdtContent>
    </w:sdt>
    <w:r w:rsidR="0018019A">
      <w:rPr>
        <w:rFonts w:ascii="Arial" w:hAnsi="Arial" w:cs="Arial"/>
        <w:sz w:val="12"/>
        <w:szCs w:val="12"/>
      </w:rPr>
      <w:t xml:space="preserve"> </w:t>
    </w:r>
  </w:p>
  <w:p w14:paraId="4A9F511F" w14:textId="1E5FE26B" w:rsidR="003A543D" w:rsidRPr="00EE47EF" w:rsidRDefault="00DF684E" w:rsidP="00E00DDF">
    <w:pPr>
      <w:pStyle w:val="Header"/>
      <w:tabs>
        <w:tab w:val="clear" w:pos="9360"/>
      </w:tabs>
      <w:spacing w:line="360" w:lineRule="auto"/>
      <w:jc w:val="right"/>
    </w:pPr>
    <w:r w:rsidRPr="00DF684E">
      <w:rPr>
        <w:rFonts w:ascii="Arial" w:hAnsi="Arial" w:cs="Arial"/>
        <w:i/>
        <w:iCs/>
        <w:sz w:val="12"/>
        <w:szCs w:val="12"/>
      </w:rPr>
      <w:t>Hörmann reserves the right to modify specification anytime without notice.</w:t>
    </w:r>
    <w:r w:rsidR="004A0BAF">
      <w:rPr>
        <w:rFonts w:ascii="Arial" w:hAnsi="Arial" w:cs="Arial"/>
        <w:i/>
        <w:iCs/>
        <w:sz w:val="12"/>
        <w:szCs w:val="12"/>
      </w:rPr>
      <w:tab/>
    </w:r>
    <w:r w:rsidR="004A0BAF">
      <w:rPr>
        <w:rFonts w:ascii="Arial" w:hAnsi="Arial" w:cs="Arial"/>
        <w:i/>
        <w:iCs/>
        <w:sz w:val="12"/>
        <w:szCs w:val="12"/>
      </w:rPr>
      <w:tab/>
    </w:r>
    <w:r w:rsidR="00E00DDF">
      <w:rPr>
        <w:rFonts w:ascii="Arial" w:hAnsi="Arial" w:cs="Arial"/>
        <w:i/>
        <w:iCs/>
        <w:sz w:val="12"/>
        <w:szCs w:val="12"/>
      </w:rPr>
      <w:tab/>
    </w:r>
    <w:r w:rsidR="00680784">
      <w:rPr>
        <w:rFonts w:ascii="Arial" w:hAnsi="Arial" w:cs="Arial"/>
        <w:i/>
        <w:iCs/>
        <w:sz w:val="12"/>
        <w:szCs w:val="12"/>
      </w:rPr>
      <w:tab/>
    </w:r>
    <w:r w:rsidR="003A543D" w:rsidRPr="008C024B">
      <w:rPr>
        <w:rFonts w:ascii="Arial" w:hAnsi="Arial" w:cs="Arial"/>
        <w:sz w:val="12"/>
        <w:szCs w:val="12"/>
      </w:rPr>
      <w:t xml:space="preserve">+1 </w:t>
    </w:r>
    <w:r w:rsidR="003A543D">
      <w:rPr>
        <w:rFonts w:ascii="Arial" w:hAnsi="Arial" w:cs="Arial"/>
        <w:sz w:val="12"/>
        <w:szCs w:val="12"/>
      </w:rPr>
      <w:t>8</w:t>
    </w:r>
    <w:r w:rsidR="00680784">
      <w:rPr>
        <w:rFonts w:ascii="Arial" w:hAnsi="Arial" w:cs="Arial"/>
        <w:sz w:val="12"/>
        <w:szCs w:val="12"/>
      </w:rPr>
      <w:t>66</w:t>
    </w:r>
    <w:r w:rsidR="003A543D" w:rsidRPr="008C024B">
      <w:rPr>
        <w:rFonts w:ascii="Arial" w:hAnsi="Arial" w:cs="Arial"/>
        <w:sz w:val="12"/>
        <w:szCs w:val="12"/>
      </w:rPr>
      <w:t xml:space="preserve"> </w:t>
    </w:r>
    <w:r w:rsidR="00680784">
      <w:rPr>
        <w:rFonts w:ascii="Arial" w:hAnsi="Arial" w:cs="Arial"/>
        <w:sz w:val="12"/>
        <w:szCs w:val="12"/>
      </w:rPr>
      <w:t>792</w:t>
    </w:r>
    <w:r w:rsidR="003A543D" w:rsidRPr="008C024B">
      <w:rPr>
        <w:rFonts w:ascii="Arial" w:hAnsi="Arial" w:cs="Arial"/>
        <w:sz w:val="12"/>
        <w:szCs w:val="12"/>
      </w:rPr>
      <w:t xml:space="preserve"> </w:t>
    </w:r>
    <w:r w:rsidR="00680784">
      <w:rPr>
        <w:rFonts w:ascii="Arial" w:hAnsi="Arial" w:cs="Arial"/>
        <w:sz w:val="12"/>
        <w:szCs w:val="12"/>
      </w:rPr>
      <w:t>9968</w:t>
    </w:r>
    <w:r w:rsidR="003A543D">
      <w:rPr>
        <w:rFonts w:ascii="Arial" w:hAnsi="Arial" w:cs="Arial"/>
        <w:sz w:val="12"/>
        <w:szCs w:val="12"/>
      </w:rPr>
      <w:t xml:space="preserve"> |  </w:t>
    </w:r>
    <w:r w:rsidR="00680784" w:rsidRPr="00680784">
      <w:rPr>
        <w:rFonts w:ascii="Arial" w:hAnsi="Arial" w:cs="Arial"/>
        <w:sz w:val="12"/>
        <w:szCs w:val="12"/>
      </w:rPr>
      <w:t>info@hormann.ca</w:t>
    </w:r>
    <w:r w:rsidR="003A543D">
      <w:rPr>
        <w:rFonts w:ascii="Arial" w:hAnsi="Arial" w:cs="Arial"/>
        <w:sz w:val="12"/>
        <w:szCs w:val="12"/>
      </w:rPr>
      <w:t xml:space="preserve"> </w:t>
    </w:r>
    <w:r w:rsidR="00EE47EF">
      <w:rPr>
        <w:rFonts w:ascii="Arial" w:hAnsi="Arial" w:cs="Arial"/>
        <w:sz w:val="12"/>
        <w:szCs w:val="12"/>
      </w:rPr>
      <w:t xml:space="preserve"> |  </w:t>
    </w:r>
    <w:hyperlink r:id="rId1" w:history="1">
      <w:r w:rsidR="00714359">
        <w:rPr>
          <w:rStyle w:val="Hyperlink"/>
          <w:rFonts w:ascii="Arial" w:hAnsi="Arial" w:cs="Arial"/>
          <w:b/>
          <w:bCs/>
          <w:sz w:val="12"/>
          <w:szCs w:val="12"/>
          <w:u w:val="none"/>
        </w:rPr>
        <w:t>hormann.ca</w:t>
      </w:r>
    </w:hyperlink>
  </w:p>
  <w:p w14:paraId="38A9E768" w14:textId="77777777" w:rsidR="003A543D" w:rsidRDefault="003A5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A724" w14:textId="77777777" w:rsidR="00330D0F" w:rsidRDefault="00330D0F" w:rsidP="003A543D">
      <w:pPr>
        <w:spacing w:after="0" w:line="240" w:lineRule="auto"/>
      </w:pPr>
      <w:r>
        <w:separator/>
      </w:r>
    </w:p>
  </w:footnote>
  <w:footnote w:type="continuationSeparator" w:id="0">
    <w:p w14:paraId="39FF70D5" w14:textId="77777777" w:rsidR="00330D0F" w:rsidRDefault="00330D0F" w:rsidP="003A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9F15" w14:textId="2985C053" w:rsidR="00933E2A" w:rsidRDefault="00F26576" w:rsidP="00E00DDF">
    <w:pPr>
      <w:rPr>
        <w:rFonts w:ascii="Arial" w:eastAsia="Arial" w:hAnsi="Arial" w:cs="Arial"/>
        <w:b/>
        <w:sz w:val="28"/>
        <w:szCs w:val="28"/>
      </w:rPr>
    </w:pPr>
    <w:r w:rsidRPr="00B23956">
      <w:rPr>
        <w:noProof/>
        <w:sz w:val="28"/>
        <w:szCs w:val="28"/>
      </w:rPr>
      <w:drawing>
        <wp:anchor distT="0" distB="0" distL="114300" distR="114300" simplePos="0" relativeHeight="251680768" behindDoc="0" locked="0" layoutInCell="1" allowOverlap="1" wp14:anchorId="7D4D79BC" wp14:editId="62722817">
          <wp:simplePos x="0" y="0"/>
          <wp:positionH relativeFrom="column">
            <wp:posOffset>4393565</wp:posOffset>
          </wp:positionH>
          <wp:positionV relativeFrom="paragraph">
            <wp:posOffset>-34925</wp:posOffset>
          </wp:positionV>
          <wp:extent cx="1481328" cy="210312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mann_wordmark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328" cy="21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C3">
      <w:rPr>
        <w:rFonts w:ascii="Arial" w:eastAsia="Arial" w:hAnsi="Arial" w:cs="Arial"/>
        <w:b/>
        <w:sz w:val="28"/>
        <w:szCs w:val="28"/>
      </w:rPr>
      <w:t>Architectural Specification</w:t>
    </w:r>
    <w:r w:rsidR="0018019A">
      <w:rPr>
        <w:rFonts w:ascii="Arial" w:eastAsia="Arial" w:hAnsi="Arial" w:cs="Arial"/>
        <w:b/>
        <w:sz w:val="28"/>
        <w:szCs w:val="28"/>
      </w:rPr>
      <w:t>s</w:t>
    </w:r>
    <w:r w:rsidR="000D5BC3">
      <w:rPr>
        <w:rFonts w:ascii="Arial" w:eastAsia="Arial" w:hAnsi="Arial" w:cs="Arial"/>
        <w:b/>
        <w:sz w:val="28"/>
        <w:szCs w:val="28"/>
      </w:rPr>
      <w:t xml:space="preserve"> </w:t>
    </w:r>
  </w:p>
  <w:p w14:paraId="43317357" w14:textId="77777777" w:rsidR="00933E2A" w:rsidRPr="00933E2A" w:rsidRDefault="00933E2A" w:rsidP="00933E2A">
    <w:pPr>
      <w:spacing w:after="0" w:line="120" w:lineRule="auto"/>
      <w:rPr>
        <w:rFonts w:ascii="Arial" w:eastAsia="Arial" w:hAnsi="Arial" w:cs="Arial"/>
        <w:b/>
        <w:sz w:val="28"/>
        <w:szCs w:val="28"/>
      </w:rPr>
    </w:pPr>
  </w:p>
  <w:p w14:paraId="3E5F6E82" w14:textId="50DE4DF2" w:rsidR="007058BC" w:rsidRPr="007058BC" w:rsidRDefault="00582BEB" w:rsidP="007058BC">
    <w:pPr>
      <w:spacing w:after="0" w:line="240" w:lineRule="auto"/>
      <w:rPr>
        <w:rStyle w:val="normaltextrun"/>
        <w:rFonts w:ascii="Arial" w:hAnsi="Arial" w:cs="Arial"/>
        <w:b/>
        <w:bCs/>
        <w:sz w:val="28"/>
        <w:szCs w:val="28"/>
        <w:shd w:val="clear" w:color="auto" w:fill="FFFFFF"/>
        <w:lang w:val="de-DE"/>
      </w:rPr>
    </w:pPr>
    <w:r>
      <w:rPr>
        <w:rStyle w:val="normaltextrun"/>
        <w:rFonts w:ascii="Arial" w:hAnsi="Arial" w:cs="Arial"/>
        <w:b/>
        <w:bCs/>
        <w:sz w:val="28"/>
        <w:szCs w:val="28"/>
        <w:shd w:val="clear" w:color="auto" w:fill="FFFFFF"/>
        <w:lang w:val="de-DE"/>
      </w:rPr>
      <w:t>Chain Drive Sprung</w:t>
    </w:r>
  </w:p>
  <w:p w14:paraId="6170AADE" w14:textId="45075D49" w:rsidR="007058BC" w:rsidRDefault="00582BEB" w:rsidP="007058BC">
    <w:pPr>
      <w:spacing w:after="0" w:line="240" w:lineRule="auto"/>
      <w:rPr>
        <w:rStyle w:val="normaltextrun"/>
        <w:rFonts w:ascii="Arial" w:hAnsi="Arial" w:cs="Arial"/>
        <w:b/>
        <w:bCs/>
        <w:sz w:val="28"/>
        <w:szCs w:val="28"/>
        <w:shd w:val="clear" w:color="auto" w:fill="FFFFFF"/>
        <w:lang w:val="de-DE"/>
      </w:rPr>
    </w:pPr>
    <w:r>
      <w:rPr>
        <w:rStyle w:val="normaltextrun"/>
        <w:rFonts w:ascii="Arial" w:hAnsi="Arial" w:cs="Arial"/>
        <w:b/>
        <w:bCs/>
        <w:sz w:val="28"/>
        <w:szCs w:val="28"/>
        <w:shd w:val="clear" w:color="auto" w:fill="FFFFFF"/>
        <w:lang w:val="de-DE"/>
      </w:rPr>
      <w:t>Extra Large Rubber Door</w:t>
    </w:r>
  </w:p>
  <w:p w14:paraId="5AE81351" w14:textId="50016972" w:rsidR="00F26576" w:rsidRPr="00933E2A" w:rsidRDefault="00933E2A" w:rsidP="007058BC">
    <w:pPr>
      <w:spacing w:after="0" w:line="240" w:lineRule="auto"/>
      <w:rPr>
        <w:rFonts w:cs="Arial"/>
        <w:shd w:val="clear" w:color="auto" w:fill="FFFFFF"/>
      </w:rPr>
    </w:pPr>
    <w:r>
      <w:rPr>
        <w:rStyle w:val="normaltextrun"/>
        <w:rFonts w:ascii="Arial" w:hAnsi="Arial" w:cs="Arial"/>
        <w:shd w:val="clear" w:color="auto" w:fill="FFFFFF"/>
        <w:lang w:val="de-DE"/>
      </w:rPr>
      <w:t>Model </w:t>
    </w:r>
    <w:r w:rsidR="0048599F">
      <w:rPr>
        <w:noProof/>
      </w:rPr>
      <w:pict w14:anchorId="67EE492C">
        <v:line id="Straight Connector 2" o:spid="_x0000_s102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75pt,84.75pt" to="462.3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" strokecolor="black [3213]" strokeweight="1pt">
          <v:stroke joinstyle="miter"/>
          <w10:wrap anchory="page"/>
        </v:line>
      </w:pict>
    </w:r>
    <w:r w:rsidR="0006264C">
      <w:rPr>
        <w:rStyle w:val="normaltextrun"/>
        <w:rFonts w:ascii="Arial" w:hAnsi="Arial" w:cs="Arial"/>
        <w:shd w:val="clear" w:color="auto" w:fill="FFFFFF"/>
        <w:lang w:val="de-DE"/>
      </w:rPr>
      <w:t>HD</w:t>
    </w:r>
    <w:r w:rsidR="00582BEB">
      <w:rPr>
        <w:rStyle w:val="normaltextrun"/>
        <w:rFonts w:ascii="Arial" w:hAnsi="Arial" w:cs="Arial"/>
        <w:shd w:val="clear" w:color="auto" w:fill="FFFFFF"/>
        <w:lang w:val="de-DE"/>
      </w:rPr>
      <w:t>XL</w:t>
    </w:r>
    <w:r w:rsidR="00957E1A">
      <w:rPr>
        <w:rStyle w:val="normaltextrun"/>
        <w:rFonts w:ascii="Arial" w:hAnsi="Arial" w:cs="Arial"/>
        <w:shd w:val="clear" w:color="auto" w:fill="FFFFFF"/>
        <w:lang w:val="de-D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437"/>
    <w:multiLevelType w:val="hybridMultilevel"/>
    <w:tmpl w:val="7DAEE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4A7808"/>
    <w:multiLevelType w:val="hybridMultilevel"/>
    <w:tmpl w:val="D38E7F86"/>
    <w:lvl w:ilvl="0" w:tplc="CD80552C">
      <w:numFmt w:val="bullet"/>
      <w:lvlText w:val="•"/>
      <w:lvlJc w:val="left"/>
      <w:pPr>
        <w:ind w:left="1985" w:hanging="708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D462DF"/>
    <w:multiLevelType w:val="multilevel"/>
    <w:tmpl w:val="A8F0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36719"/>
    <w:multiLevelType w:val="hybridMultilevel"/>
    <w:tmpl w:val="EE64F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83B76"/>
    <w:multiLevelType w:val="multilevel"/>
    <w:tmpl w:val="A19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5081D"/>
    <w:multiLevelType w:val="multilevel"/>
    <w:tmpl w:val="C0B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763579"/>
    <w:multiLevelType w:val="multilevel"/>
    <w:tmpl w:val="24A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87FBC"/>
    <w:multiLevelType w:val="multilevel"/>
    <w:tmpl w:val="3C44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0093378">
    <w:abstractNumId w:val="5"/>
  </w:num>
  <w:num w:numId="2" w16cid:durableId="2112313775">
    <w:abstractNumId w:val="4"/>
  </w:num>
  <w:num w:numId="3" w16cid:durableId="1230077141">
    <w:abstractNumId w:val="6"/>
  </w:num>
  <w:num w:numId="4" w16cid:durableId="847985456">
    <w:abstractNumId w:val="7"/>
  </w:num>
  <w:num w:numId="5" w16cid:durableId="759251926">
    <w:abstractNumId w:val="2"/>
  </w:num>
  <w:num w:numId="6" w16cid:durableId="1053501977">
    <w:abstractNumId w:val="3"/>
  </w:num>
  <w:num w:numId="7" w16cid:durableId="939601066">
    <w:abstractNumId w:val="1"/>
  </w:num>
  <w:num w:numId="8" w16cid:durableId="45136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3E3"/>
    <w:rsid w:val="000460C1"/>
    <w:rsid w:val="00052A92"/>
    <w:rsid w:val="0006264C"/>
    <w:rsid w:val="00071CBE"/>
    <w:rsid w:val="000910D2"/>
    <w:rsid w:val="000D5BC3"/>
    <w:rsid w:val="000E3A7E"/>
    <w:rsid w:val="000E7BFB"/>
    <w:rsid w:val="001517CF"/>
    <w:rsid w:val="00154A09"/>
    <w:rsid w:val="0016327D"/>
    <w:rsid w:val="00174788"/>
    <w:rsid w:val="0018019A"/>
    <w:rsid w:val="00193A0D"/>
    <w:rsid w:val="001E4FE7"/>
    <w:rsid w:val="001F6DA8"/>
    <w:rsid w:val="00207743"/>
    <w:rsid w:val="00222900"/>
    <w:rsid w:val="002C0C0C"/>
    <w:rsid w:val="002F1374"/>
    <w:rsid w:val="0030297A"/>
    <w:rsid w:val="00321B0B"/>
    <w:rsid w:val="00326E68"/>
    <w:rsid w:val="00330D0F"/>
    <w:rsid w:val="00335D1E"/>
    <w:rsid w:val="00356153"/>
    <w:rsid w:val="003732E1"/>
    <w:rsid w:val="003A543D"/>
    <w:rsid w:val="003D480D"/>
    <w:rsid w:val="003E3B56"/>
    <w:rsid w:val="00454126"/>
    <w:rsid w:val="00465D3E"/>
    <w:rsid w:val="0048599F"/>
    <w:rsid w:val="00496895"/>
    <w:rsid w:val="004A0BAF"/>
    <w:rsid w:val="004B1087"/>
    <w:rsid w:val="004B27CA"/>
    <w:rsid w:val="004B431C"/>
    <w:rsid w:val="004C694B"/>
    <w:rsid w:val="004F1481"/>
    <w:rsid w:val="00502E14"/>
    <w:rsid w:val="00533DDA"/>
    <w:rsid w:val="00567137"/>
    <w:rsid w:val="00582BEB"/>
    <w:rsid w:val="00590BEE"/>
    <w:rsid w:val="00590FB5"/>
    <w:rsid w:val="005939F5"/>
    <w:rsid w:val="005C554A"/>
    <w:rsid w:val="005F4050"/>
    <w:rsid w:val="00605343"/>
    <w:rsid w:val="00654EF3"/>
    <w:rsid w:val="00680784"/>
    <w:rsid w:val="006F2721"/>
    <w:rsid w:val="007058BC"/>
    <w:rsid w:val="00714359"/>
    <w:rsid w:val="00782159"/>
    <w:rsid w:val="007A68B2"/>
    <w:rsid w:val="007C514D"/>
    <w:rsid w:val="00814C9C"/>
    <w:rsid w:val="00826E75"/>
    <w:rsid w:val="00830359"/>
    <w:rsid w:val="00892E36"/>
    <w:rsid w:val="008962B4"/>
    <w:rsid w:val="00896585"/>
    <w:rsid w:val="008B25A6"/>
    <w:rsid w:val="008C4F34"/>
    <w:rsid w:val="008D63E3"/>
    <w:rsid w:val="0090285B"/>
    <w:rsid w:val="0092022A"/>
    <w:rsid w:val="00933E2A"/>
    <w:rsid w:val="00957E1A"/>
    <w:rsid w:val="00971911"/>
    <w:rsid w:val="0098024F"/>
    <w:rsid w:val="00996775"/>
    <w:rsid w:val="009C339D"/>
    <w:rsid w:val="00A31C51"/>
    <w:rsid w:val="00A509ED"/>
    <w:rsid w:val="00A50FD3"/>
    <w:rsid w:val="00A52ADF"/>
    <w:rsid w:val="00AF576B"/>
    <w:rsid w:val="00B23883"/>
    <w:rsid w:val="00B23956"/>
    <w:rsid w:val="00B323A5"/>
    <w:rsid w:val="00BD0B6C"/>
    <w:rsid w:val="00BF45EB"/>
    <w:rsid w:val="00C11C37"/>
    <w:rsid w:val="00C96925"/>
    <w:rsid w:val="00CC76FF"/>
    <w:rsid w:val="00D1149F"/>
    <w:rsid w:val="00D11F2B"/>
    <w:rsid w:val="00D461B3"/>
    <w:rsid w:val="00D52C82"/>
    <w:rsid w:val="00D63486"/>
    <w:rsid w:val="00D65206"/>
    <w:rsid w:val="00D768F4"/>
    <w:rsid w:val="00DA5D57"/>
    <w:rsid w:val="00DA62D3"/>
    <w:rsid w:val="00DD671D"/>
    <w:rsid w:val="00DE2D57"/>
    <w:rsid w:val="00DF684E"/>
    <w:rsid w:val="00E00DDF"/>
    <w:rsid w:val="00E123AA"/>
    <w:rsid w:val="00E44D30"/>
    <w:rsid w:val="00E46B4C"/>
    <w:rsid w:val="00E52CA7"/>
    <w:rsid w:val="00E655E1"/>
    <w:rsid w:val="00E82AD5"/>
    <w:rsid w:val="00EA154D"/>
    <w:rsid w:val="00EB00C2"/>
    <w:rsid w:val="00EC1FA7"/>
    <w:rsid w:val="00EE45B7"/>
    <w:rsid w:val="00EE47EF"/>
    <w:rsid w:val="00F02F8E"/>
    <w:rsid w:val="00F26576"/>
    <w:rsid w:val="00F362BE"/>
    <w:rsid w:val="00F81B3C"/>
    <w:rsid w:val="00F92892"/>
    <w:rsid w:val="00FD084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D74"/>
  <w15:docId w15:val="{FBA7B7BE-0C75-438C-9ABD-3E366B8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576B"/>
    <w:rPr>
      <w:color w:val="808080"/>
    </w:rPr>
  </w:style>
  <w:style w:type="character" w:customStyle="1" w:styleId="Date1">
    <w:name w:val="Date1"/>
    <w:basedOn w:val="DefaultParagraphFont"/>
    <w:uiPriority w:val="1"/>
    <w:rsid w:val="00AF576B"/>
    <w:rPr>
      <w:rFonts w:ascii="Arial" w:hAnsi="Arial"/>
      <w:b/>
      <w:sz w:val="22"/>
    </w:rPr>
  </w:style>
  <w:style w:type="table" w:styleId="TableGrid">
    <w:name w:val="Table Grid"/>
    <w:basedOn w:val="TableNormal"/>
    <w:rsid w:val="00E4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3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5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3D"/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0D5BC3"/>
  </w:style>
  <w:style w:type="character" w:customStyle="1" w:styleId="eop">
    <w:name w:val="eop"/>
    <w:basedOn w:val="DefaultParagraphFont"/>
    <w:rsid w:val="000D5BC3"/>
  </w:style>
  <w:style w:type="paragraph" w:customStyle="1" w:styleId="paragraph">
    <w:name w:val="paragraph"/>
    <w:basedOn w:val="Normal"/>
    <w:rsid w:val="00DF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D65206"/>
    <w:pPr>
      <w:ind w:left="720"/>
      <w:contextualSpacing/>
    </w:pPr>
  </w:style>
  <w:style w:type="character" w:customStyle="1" w:styleId="tabchar">
    <w:name w:val="tabchar"/>
    <w:basedOn w:val="DefaultParagraphFont"/>
    <w:rsid w:val="00933E2A"/>
  </w:style>
  <w:style w:type="character" w:styleId="CommentReference">
    <w:name w:val="annotation reference"/>
    <w:basedOn w:val="DefaultParagraphFont"/>
    <w:semiHidden/>
    <w:unhideWhenUsed/>
    <w:rsid w:val="00582B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2BEB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582BEB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nrdoo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B3BC2D9E80C4A97FBD224F17BE1FD" ma:contentTypeVersion="17" ma:contentTypeDescription="Ein neues Dokument erstellen." ma:contentTypeScope="" ma:versionID="05c7ef34ec14fec61821331b95bdbdca">
  <xsd:schema xmlns:xsd="http://www.w3.org/2001/XMLSchema" xmlns:xs="http://www.w3.org/2001/XMLSchema" xmlns:p="http://schemas.microsoft.com/office/2006/metadata/properties" xmlns:ns2="0e61c886-fb0b-47c0-9bfb-36531dcfaec3" xmlns:ns3="2fb35a5b-add1-4edc-9c71-842afc6edcba" targetNamespace="http://schemas.microsoft.com/office/2006/metadata/properties" ma:root="true" ma:fieldsID="e8f736eedb716e9d6625d155401c4cfd" ns2:_="" ns3:_="">
    <xsd:import namespace="0e61c886-fb0b-47c0-9bfb-36531dcfaec3"/>
    <xsd:import namespace="2fb35a5b-add1-4edc-9c71-842afc6ed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1c886-fb0b-47c0-9bfb-36531dcfa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de15859-603c-4654-859a-b84f0d711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35a5b-add1-4edc-9c71-842afc6edc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c3dfc7d-320b-4ff3-8b79-b34a56d71c66}" ma:internalName="TaxCatchAll" ma:showField="CatchAllData" ma:web="2fb35a5b-add1-4edc-9c71-842afc6ed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1c886-fb0b-47c0-9bfb-36531dcfaec3">
      <Terms xmlns="http://schemas.microsoft.com/office/infopath/2007/PartnerControls"/>
    </lcf76f155ced4ddcb4097134ff3c332f>
    <TaxCatchAll xmlns="2fb35a5b-add1-4edc-9c71-842afc6edc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9DDF-678E-422D-99EA-F2EE064F6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1c886-fb0b-47c0-9bfb-36531dcfaec3"/>
    <ds:schemaRef ds:uri="2fb35a5b-add1-4edc-9c71-842afc6ed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7AAF4-D318-4600-89FF-76C86733A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B5B10-AE3A-4FE8-8779-2024370D937E}">
  <ds:schemaRefs>
    <ds:schemaRef ds:uri="http://schemas.microsoft.com/office/2006/metadata/properties"/>
    <ds:schemaRef ds:uri="http://schemas.microsoft.com/office/infopath/2007/PartnerControls"/>
    <ds:schemaRef ds:uri="0e61c886-fb0b-47c0-9bfb-36531dcfaec3"/>
    <ds:schemaRef ds:uri="2fb35a5b-add1-4edc-9c71-842afc6edcba"/>
  </ds:schemaRefs>
</ds:datastoreItem>
</file>

<file path=customXml/itemProps4.xml><?xml version="1.0" encoding="utf-8"?>
<ds:datastoreItem xmlns:ds="http://schemas.openxmlformats.org/officeDocument/2006/customXml" ds:itemID="{262514CE-B88D-4BBE-A444-A9C8BEEA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Hormann Memo Example copy</vt:lpstr>
    </vt:vector>
  </TitlesOfParts>
  <Company>HGroup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Hormann Memo Example copy</dc:title>
  <dc:subject/>
  <dc:creator>Wilmerstadt, Kristin</dc:creator>
  <cp:keywords/>
  <dc:description/>
  <cp:lastModifiedBy>Kim, Paul</cp:lastModifiedBy>
  <cp:revision>3</cp:revision>
  <dcterms:created xsi:type="dcterms:W3CDTF">2024-10-15T14:20:00Z</dcterms:created>
  <dcterms:modified xsi:type="dcterms:W3CDTF">2024-10-15T18:53:00Z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0x010100006B3BC2D9E80C4A97FBD224F17BE1FD</vt:lpwstr>
  </property>
</Properties>
</file>